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11EA" w:rsidRDefault="009A43D9">
      <w:pPr>
        <w:spacing w:line="48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ВИДЫ РАЗВИВАЮЩИХ ИГР ДЛЯ ДЕТЕЙ МЛАДШЕГО ДОШКОЛЬНОГО ВОЗРАСТА</w:t>
      </w:r>
    </w:p>
    <w:p w:rsidR="006411EA" w:rsidRDefault="009A43D9">
      <w:pPr>
        <w:spacing w:after="0"/>
        <w:jc w:val="right"/>
        <w:rPr>
          <w:rFonts w:ascii="Liberation Serif" w:hAnsi="Liberation Serif"/>
          <w:b/>
          <w:i/>
          <w:sz w:val="24"/>
          <w:szCs w:val="24"/>
        </w:rPr>
      </w:pPr>
      <w:r>
        <w:rPr>
          <w:rFonts w:ascii="Liberation Serif" w:hAnsi="Liberation Serif"/>
          <w:b/>
          <w:i/>
          <w:sz w:val="24"/>
          <w:szCs w:val="24"/>
        </w:rPr>
        <w:t xml:space="preserve">Шаронова Анастасия Геннадьевна, </w:t>
      </w:r>
    </w:p>
    <w:p w:rsidR="006411EA" w:rsidRDefault="009A43D9">
      <w:pPr>
        <w:spacing w:after="0"/>
        <w:jc w:val="right"/>
        <w:rPr>
          <w:rFonts w:ascii="Liberation Serif" w:hAnsi="Liberation Serif"/>
          <w:i/>
          <w:sz w:val="24"/>
          <w:szCs w:val="24"/>
        </w:rPr>
      </w:pPr>
      <w:r>
        <w:rPr>
          <w:rFonts w:ascii="Liberation Serif" w:hAnsi="Liberation Serif"/>
          <w:i/>
          <w:sz w:val="24"/>
          <w:szCs w:val="24"/>
        </w:rPr>
        <w:t>старший воспитатель</w:t>
      </w:r>
    </w:p>
    <w:p w:rsidR="006411EA" w:rsidRDefault="009A43D9">
      <w:pPr>
        <w:spacing w:after="0"/>
        <w:jc w:val="right"/>
        <w:rPr>
          <w:rFonts w:ascii="Liberation Serif" w:hAnsi="Liberation Serif"/>
          <w:i/>
          <w:sz w:val="24"/>
          <w:szCs w:val="24"/>
        </w:rPr>
      </w:pPr>
      <w:r>
        <w:rPr>
          <w:rFonts w:ascii="Liberation Serif" w:hAnsi="Liberation Serif"/>
          <w:i/>
          <w:sz w:val="24"/>
          <w:szCs w:val="24"/>
        </w:rPr>
        <w:t>МДОУ «Детский сад «Морозко» п.Приозёрный»</w:t>
      </w:r>
    </w:p>
    <w:p w:rsidR="006411EA" w:rsidRDefault="009A43D9">
      <w:pPr>
        <w:spacing w:after="0"/>
        <w:jc w:val="right"/>
        <w:rPr>
          <w:rFonts w:ascii="Liberation Serif" w:hAnsi="Liberation Serif"/>
          <w:b/>
          <w:i/>
          <w:sz w:val="24"/>
          <w:szCs w:val="24"/>
        </w:rPr>
      </w:pPr>
      <w:r>
        <w:rPr>
          <w:rFonts w:ascii="Liberation Serif" w:hAnsi="Liberation Serif"/>
          <w:b/>
          <w:i/>
          <w:sz w:val="24"/>
          <w:szCs w:val="24"/>
        </w:rPr>
        <w:t xml:space="preserve">Коновалова Анастасия Сергеевна, </w:t>
      </w:r>
    </w:p>
    <w:p w:rsidR="006411EA" w:rsidRDefault="009A43D9">
      <w:pPr>
        <w:spacing w:after="0"/>
        <w:jc w:val="right"/>
        <w:rPr>
          <w:rFonts w:ascii="Liberation Serif" w:hAnsi="Liberation Serif"/>
          <w:i/>
          <w:sz w:val="24"/>
          <w:szCs w:val="24"/>
        </w:rPr>
      </w:pPr>
      <w:r>
        <w:rPr>
          <w:rFonts w:ascii="Liberation Serif" w:hAnsi="Liberation Serif"/>
          <w:i/>
          <w:sz w:val="24"/>
          <w:szCs w:val="24"/>
        </w:rPr>
        <w:t>Воспитатель МДОУ «Детский сад «Морозко» п.Приозёрный»</w:t>
      </w:r>
    </w:p>
    <w:p w:rsidR="006411EA" w:rsidRDefault="006411EA">
      <w:pPr>
        <w:spacing w:after="0"/>
        <w:jc w:val="right"/>
        <w:rPr>
          <w:rFonts w:ascii="Liberation Serif" w:hAnsi="Liberation Serif"/>
          <w:i/>
          <w:sz w:val="24"/>
          <w:szCs w:val="24"/>
        </w:rPr>
      </w:pPr>
    </w:p>
    <w:p w:rsidR="006411EA" w:rsidRDefault="009A43D9">
      <w:p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b/>
          <w:sz w:val="24"/>
          <w:szCs w:val="24"/>
        </w:rPr>
        <w:t xml:space="preserve">Аннотация. </w:t>
      </w:r>
      <w:r>
        <w:rPr>
          <w:rFonts w:ascii="Liberation Serif" w:hAnsi="Liberation Serif"/>
          <w:sz w:val="24"/>
          <w:szCs w:val="24"/>
        </w:rPr>
        <w:t>В статье раскрываются особенности организации развивающих игр для детей 2 – 4 лет и рассмотрены их разные виды в рамках ПМК «Воробушки» и ПМК «Мозаичный парк». Обучающие задачи этих игр различны – это развитие нравственных и волевых качеств личности, целенаправленного восприятия внешних признаков предметов и активация внимания, памяти, мышления, речи</w:t>
      </w:r>
    </w:p>
    <w:p w:rsidR="006411EA" w:rsidRDefault="009A43D9">
      <w:p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b/>
          <w:sz w:val="24"/>
          <w:szCs w:val="24"/>
        </w:rPr>
        <w:t xml:space="preserve">Ключевые слова. </w:t>
      </w:r>
      <w:r>
        <w:rPr>
          <w:rFonts w:ascii="Liberation Serif" w:hAnsi="Liberation Serif"/>
          <w:sz w:val="24"/>
          <w:szCs w:val="24"/>
        </w:rPr>
        <w:t>Развивающая игра, развитие, игровой замысел, обучающая задача, игровой материал, игровые правила, игры-забавы, игры с ролью, игры-задачи, игры-соревнования.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Игра – это неотъемлемая часть развития дошкольников. Исследователи, в частности Е.В. Зворыгина, отмечают, что игра носит развивающий характер, если организуется взрослым по принципу решения игровых задач. При формулировке игровой задачи могут использоваться как прямые, как и косвенные методы педагогического руководства. Так, игровая задача может быть поставлена прямо: «Уложи куклу спать», может быть сформулирована в косвенной форме: «Кукла хочет спать», а затем и менее конкретно: «Кукла устала» - в этом случае ребенок ищет решение сам. Таким образом, взрослый тщательно продумывает ряд постепенно усложняющихся игровых задач, которые он будет решать с ребенком в совместной игре.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Развивающая игра – это прежде всего настоящая игра. Что же стоит за психологическим понятием «развитие»? Развитие – это всегда возникновение нового качества. По отношению к детскому развитию это появление нового отношения к миру и к другим людям, новых способностей, желаний, интересов и мотивов (побуждений) к действию. Действия под диктовку взрослого, как и ответы на его вопросы (даже правильные), не имеют никакого отношения к развитию ребёнка.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В отличие от спонтанной детской игры, развивающая игра является педагогическим средством, созданным взрослыми для развития какой-либо способности ребёнка, приобретения нового знания, навыка, для формирования нравственно-волевых качеств, коммуникативных способностей, развития речи. Малыш, увлечённый замыслом игры, не замечает, что он учится. 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Дидактическая, развивающая игра – это полноценная, содержательная для детей деятельность. У каждой игры есть своя цель – для чего это игра создана, на что направлена.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Цель игры всегда имеет два аспекта: познавательный и воспитательный. В обоих случаях цель игры формулируется не как передача конкретных знаний, умений и навыков, а как развитие у ребенка определённых способностей. Цель игры определяется взрослым, ребёнок, естественно, не подозревает о том, что он чему-то учится.</w:t>
      </w:r>
      <w:r>
        <w:rPr>
          <w:rFonts w:ascii="Liberation Serif" w:hAnsi="Liberation Serif"/>
          <w:sz w:val="24"/>
          <w:szCs w:val="24"/>
        </w:rPr>
        <w:tab/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Рассмотрим важные составляющие развивающей игры. Игровой замысел – это та игровая ситуация, в которую вводят ребёнка и которую он воспринимает как свою. Во всех случаях замысел игры реализуется в игровых действиях (например, надо что-то найти, выполнить определённые движения, обменяться предметами и т.п.). Игровые действия всегда включают в себя обучающую задачу, решение которой напрямую связано с </w:t>
      </w:r>
      <w:r>
        <w:rPr>
          <w:rFonts w:ascii="Liberation Serif" w:hAnsi="Liberation Serif"/>
          <w:sz w:val="24"/>
          <w:szCs w:val="24"/>
        </w:rPr>
        <w:lastRenderedPageBreak/>
        <w:t>переживанием личного успеха, с ощущением эмоциональной связи с остальными участниками. Решение обучающей задачи требует от ребёнка активных умственных и волевых усилий, но оно же и даёт ему наибольшее удовлетворение. Игровой материал также побуждает к игре, имеет важное значение для обучения и развития малыша и, конечно же, для осуществления игрового замысла. Педагог должен создавать условия предметно-игровой среды и периодически изменять их, следить за тем, чтобы имелся необходимый комплект предметов на определённую тематику. И наконец, важной составляющей игры являются игровые правила (правила действия и правила общения). Благодаря правилам дети осознают, каков замысел игры, какие игровые действия им необходимо предпринять.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Развивающие игры содержат всё необходимое для формирования наиболее ценных качеств личности ребёнка. Однако, чтобы эти качества развивались в полной мере, необходимо соблюдать определённую последовательность в подборе игр.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В ПМК «Воробушки» и ПМК «Мозаичный парк» выделяют четыре вида развивающих игр: игры-забавы, игры с ролью, игры-задачи и игры-соревнования.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Наиболее ярко развлекательное начало представлено в игра-забавах. Младший дошкольник всегда стремиться к чему-то весёлому, необычному. Положительные эмоции защищают его от умственных перегрузок, такие игры не утомляют детей. Игры-забавы и хороводы являются первыми и самыми простыми играми, в которых воспитанники действуют одновременно и одинаково. </w: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2164151" cy="2885535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"/>
                        <pic:cNvPicPr>
                          <a:picLocks noChangeAspect="1"/>
                        </pic:cNvPicPr>
                      </pic:nvPicPr>
                      <pic:blipFill>
                        <a:blip r:embed="rId8"/>
                        <a:stretch/>
                      </pic:blipFill>
                      <pic:spPr bwMode="auto">
                        <a:xfrm>
                          <a:off x="0" y="0"/>
                          <a:ext cx="2164151" cy="28855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mso-wrap-distance-left:0.0pt;mso-wrap-distance-top:0.0pt;mso-wrap-distance-right:0.0pt;mso-wrap-distance-bottom:0.0pt;width:170.4pt;height:227.2pt;" stroked="false">
                <v:path textboxrect="0,0,0,0"/>
                <v:imagedata r:id="rId10" o:title=""/>
              </v:shape>
            </w:pict>
          </mc:Fallback>
        </mc:AlternateContent>
      </w:r>
      <w:r>
        <w:rPr>
          <w:rFonts w:ascii="Liberation Serif" w:hAnsi="Liberation Serif"/>
          <w:sz w:val="24"/>
          <w:szCs w:val="24"/>
        </w:rPr>
        <w:t xml:space="preserve"> </w:t>
      </w:r>
      <w:r>
        <w:rPr>
          <w:rFonts w:ascii="Liberation Serif" w:hAnsi="Liberation Serif"/>
          <w:noProof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2164985" cy="2886647"/>
                <wp:effectExtent l="0" t="0" r="0" b="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"/>
                        <pic:cNvPicPr>
                          <a:picLocks noChangeAspect="1"/>
                        </pic:cNvPicPr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2164985" cy="288664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mso-wrap-distance-left:0.0pt;mso-wrap-distance-top:0.0pt;mso-wrap-distance-right:0.0pt;mso-wrap-distance-bottom:0.0pt;width:170.5pt;height:227.3pt;rotation:0;" stroked="false">
                <v:path textboxrect="0,0,0,0"/>
                <v:imagedata r:id="rId12" o:title=""/>
              </v:shape>
            </w:pict>
          </mc:Fallback>
        </mc:AlternateContent>
      </w:r>
    </w:p>
    <w:p w:rsidR="006411EA" w:rsidRDefault="009A43D9">
      <w:pPr>
        <w:spacing w:after="0"/>
        <w:ind w:firstLine="70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     Игра-забава «Раздувайся пузырь!»)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Здесь единые движения, общие игровые интересы усиливают радостные переживания, положительные эмоции. Кроме того, дети учатся согласовывать свои действия друг с другом и ориентироваться в пространстве.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ab/>
        <w:t xml:space="preserve">Вторым видом игр, в которых также преобладает развлекательное начало, являются игры с ролью. Такие игры активизируют и развивают воображение детей, готовят их к творческой самостоятельной игре. Это обстоятельство особенно важно в младшем дошкольном возрасте, когда сюжетно-ролевая игра только формируется. Игры с ролью по своему характеру созданы по образу народных игр и несут в себе элементы фольклора. Такие игры удовлетворяют потребность детей в движении, общении, в слушании образного поэтического слова. 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Сочетание движений со словом помогает ребёнку осознать содержание игры, выполнить необходимые действия.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1764101" cy="2352135"/>
                <wp:effectExtent l="0" t="0" r="0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"/>
                        <pic:cNvPicPr>
                          <a:picLocks noChangeAspect="1"/>
                        </pic:cNvPicPr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1764101" cy="23521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mso-wrap-distance-left:0.0pt;mso-wrap-distance-top:0.0pt;mso-wrap-distance-right:0.0pt;mso-wrap-distance-bottom:0.0pt;width:138.9pt;height:185.2pt;" stroked="false">
                <v:path textboxrect="0,0,0,0"/>
                <v:imagedata r:id="rId14" o:title=""/>
              </v:shape>
            </w:pict>
          </mc:Fallback>
        </mc:AlternateContent>
      </w:r>
      <w:r>
        <w:rPr>
          <w:rFonts w:ascii="Liberation Serif" w:hAnsi="Liberation Serif"/>
          <w:sz w:val="24"/>
          <w:szCs w:val="24"/>
        </w:rPr>
        <w:t xml:space="preserve">         </w:t>
      </w:r>
      <w:r>
        <w:rPr>
          <w:rFonts w:ascii="Liberation Serif" w:hAnsi="Liberation Serif"/>
          <w:noProof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1852581" cy="2344243"/>
                <wp:effectExtent l="0" t="0" r="0" b="0"/>
                <wp:docPr id="4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>
                          <a:picLocks noChangeAspect="1"/>
                        </pic:cNvPicPr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1852581" cy="23442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mso-wrap-distance-left:0.0pt;mso-wrap-distance-top:0.0pt;mso-wrap-distance-right:0.0pt;mso-wrap-distance-bottom:0.0pt;width:145.9pt;height:184.6pt;" stroked="false">
                <v:path textboxrect="0,0,0,0"/>
                <v:imagedata r:id="rId16" o:title=""/>
              </v:shape>
            </w:pict>
          </mc:Fallback>
        </mc:AlternateConten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                         Игра с ролью</w:t>
      </w:r>
      <w:r w:rsidR="007E2D03">
        <w:rPr>
          <w:rFonts w:ascii="Liberation Serif" w:hAnsi="Liberation Serif"/>
          <w:sz w:val="24"/>
          <w:szCs w:val="24"/>
        </w:rPr>
        <w:t xml:space="preserve"> </w:t>
      </w:r>
      <w:bookmarkStart w:id="0" w:name="_GoBack"/>
      <w:bookmarkEnd w:id="0"/>
      <w:r w:rsidR="007E2D03">
        <w:rPr>
          <w:rFonts w:ascii="Liberation Serif" w:hAnsi="Liberation Serif"/>
          <w:sz w:val="24"/>
          <w:szCs w:val="24"/>
        </w:rPr>
        <w:t>(</w:t>
      </w:r>
      <w:r>
        <w:rPr>
          <w:rFonts w:ascii="Liberation Serif" w:hAnsi="Liberation Serif"/>
          <w:sz w:val="24"/>
          <w:szCs w:val="24"/>
        </w:rPr>
        <w:t xml:space="preserve"> «Зайка»)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Одно из условий игры с ролью – действовать по очереди, небольшими группами. Таким образом, дети учатся считаться с интересами других людей, делиться с ними ролью в игре. Такие игры готовят к новой форме партнёрства, кладут начало самостоятельности, налаживают дружеские контакты между детьми.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ab/>
        <w:t>Так как в играх-забавах и играх с ролью преобладает развлекательное начало, эти игры составляют большинство в начале учебного года. Их обучающая задача является лишь условием реализации игрового замысла. В следующем виде игр – играх-задачах она составляет саму суть игры, её смысл. Игровой замысел в них тесно сопряжён с умственной деятельностью. Решение задачи становится условием игрового общения, средством, с помощью которого можно завоевать признание и уважение сверстников. Игровые ситуации разнообразны. Это и составление детского лото, и загадывание загадок, и различные поручения (например, определить и поставить колечко на место).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 </w:t>
      </w:r>
      <w:r w:rsidR="00732A96"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>
            <wp:extent cx="2144168" cy="2858814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20325_092532_1_resized_20220325_100802148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73" cy="2872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iberation Serif" w:hAnsi="Liberation Serif"/>
          <w:sz w:val="24"/>
          <w:szCs w:val="24"/>
        </w:rPr>
        <w:t xml:space="preserve">     </w:t>
      </w:r>
      <w:r w:rsidR="00732A96"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 wp14:anchorId="5B01E526" wp14:editId="72C0C016">
            <wp:extent cx="2096869" cy="2795752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20325_092611_resized_20220325_10080328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935" cy="2803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A96" w:rsidRDefault="00732A96">
      <w:pPr>
        <w:spacing w:after="0"/>
        <w:jc w:val="both"/>
        <w:rPr>
          <w:rFonts w:ascii="Liberation Serif" w:hAnsi="Liberation Serif"/>
          <w:sz w:val="24"/>
          <w:szCs w:val="24"/>
        </w:rPr>
      </w:pP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 </w:t>
      </w:r>
      <w:r w:rsidR="00732A96">
        <w:rPr>
          <w:rFonts w:ascii="Liberation Serif" w:hAnsi="Liberation Serif"/>
          <w:sz w:val="24"/>
          <w:szCs w:val="24"/>
          <w:lang w:val="en-US"/>
        </w:rPr>
        <w:t xml:space="preserve">                                 </w:t>
      </w:r>
      <w:r>
        <w:rPr>
          <w:rFonts w:ascii="Liberation Serif" w:hAnsi="Liberation Serif"/>
          <w:sz w:val="24"/>
          <w:szCs w:val="24"/>
        </w:rPr>
        <w:t>Игра-задача</w:t>
      </w:r>
      <w:r w:rsidR="00732A96" w:rsidRPr="007E2D03">
        <w:rPr>
          <w:rFonts w:ascii="Liberation Serif" w:hAnsi="Liberation Serif"/>
          <w:sz w:val="24"/>
          <w:szCs w:val="24"/>
        </w:rPr>
        <w:t xml:space="preserve"> (</w:t>
      </w:r>
      <w:r>
        <w:rPr>
          <w:rFonts w:ascii="Liberation Serif" w:hAnsi="Liberation Serif"/>
          <w:sz w:val="24"/>
          <w:szCs w:val="24"/>
        </w:rPr>
        <w:t xml:space="preserve"> «Мишкины проказы»)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ab/>
        <w:t xml:space="preserve">Четвёртый вид игр – это соревнования. В них дети сравнивают себя с другими. В сборнике ПМК «Воробушки» и ПМК «Мозаичный парк» таких игр немного. Дело в том, что игры-соревнования могут оказать отрицательное воздействие на неуверенного в себе, робкого, пассивного ребёнка. Кроме того, они могут пробудить конкуренцию, повредить установлению доброжелательной атмосферы в группе, травмировать ребёнка. В </w:t>
      </w:r>
      <w:r>
        <w:rPr>
          <w:rFonts w:ascii="Liberation Serif" w:hAnsi="Liberation Serif"/>
          <w:sz w:val="24"/>
          <w:szCs w:val="24"/>
        </w:rPr>
        <w:lastRenderedPageBreak/>
        <w:t>предлагаемых играх содержатся лишь элементы соревнования и это подготавливает детей к правильной оценке своих возможностей.</w:t>
      </w:r>
    </w:p>
    <w:p w:rsidR="00732A96" w:rsidRDefault="00732A96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>
            <wp:extent cx="1891913" cy="252248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220325_092819_resized_20220325_10080523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199" cy="2540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iberation Serif" w:hAnsi="Liberation Serif"/>
          <w:noProof/>
          <w:sz w:val="24"/>
          <w:szCs w:val="24"/>
          <w:lang w:val="en-US" w:eastAsia="ru-RU"/>
        </w:rPr>
        <w:t xml:space="preserve">       </w:t>
      </w: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>
            <wp:extent cx="1860381" cy="2480441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220325_092855_resized_20220325_10082704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0483" cy="2493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1EA" w:rsidRDefault="00732A96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  <w:lang w:val="en-US"/>
        </w:rPr>
        <w:t xml:space="preserve">                              </w:t>
      </w:r>
      <w:r w:rsidRPr="007E2D03">
        <w:rPr>
          <w:rFonts w:ascii="Liberation Serif" w:hAnsi="Liberation Serif"/>
          <w:sz w:val="24"/>
          <w:szCs w:val="24"/>
        </w:rPr>
        <w:t>(</w:t>
      </w:r>
      <w:r w:rsidR="009A43D9">
        <w:rPr>
          <w:rFonts w:ascii="Liberation Serif" w:hAnsi="Liberation Serif"/>
          <w:sz w:val="24"/>
          <w:szCs w:val="24"/>
        </w:rPr>
        <w:t>Игра-соревнование «Пальчик»)</w:t>
      </w:r>
    </w:p>
    <w:p w:rsidR="006411EA" w:rsidRDefault="009A43D9">
      <w:pPr>
        <w:spacing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Такая игра развивает целенаправленное внимание и активизирует умственную активность. Основное условие игры-соревнования – соблюдать специальные ограничительные правила (например: пока картинка не названа, пальчик нужно держать у края стола). Соблюдая правила, дети учатся считаться друг с другом, доброжелательно относиться к сверстникам.</w:t>
      </w:r>
    </w:p>
    <w:p w:rsidR="006411EA" w:rsidRDefault="009A43D9">
      <w:p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ab/>
        <w:t>Перечисленные виды игр не только опираются на интересы ребёнка, но и развивают их. Весёлые игры-забавы сменяются ролевыми играми, которые, в свою очередь, готовят детей к участию в играх-задачах. Игры-задачи являются подготовкой к будущей учебной деятельности.</w:t>
      </w:r>
    </w:p>
    <w:p w:rsidR="006411EA" w:rsidRDefault="009A43D9">
      <w:pPr>
        <w:jc w:val="center"/>
        <w:rPr>
          <w:rFonts w:ascii="Liberation Serif" w:hAnsi="Liberation Serif"/>
          <w:b/>
          <w:sz w:val="24"/>
          <w:szCs w:val="24"/>
        </w:rPr>
      </w:pPr>
      <w:r>
        <w:rPr>
          <w:rFonts w:ascii="Liberation Serif" w:hAnsi="Liberation Serif"/>
          <w:b/>
          <w:sz w:val="24"/>
          <w:szCs w:val="24"/>
        </w:rPr>
        <w:t>Литература</w:t>
      </w:r>
    </w:p>
    <w:p w:rsidR="006411EA" w:rsidRDefault="009A43D9">
      <w:pPr>
        <w:pStyle w:val="af9"/>
        <w:numPr>
          <w:ilvl w:val="0"/>
          <w:numId w:val="1"/>
        </w:num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Губанова Н.Ф. Развитие игровой деятельности: Вторая группа раннего возраста. – М.: МОЗАИКА-СИНТЕЗ, 2016. – 128 с.</w:t>
      </w:r>
    </w:p>
    <w:p w:rsidR="006411EA" w:rsidRDefault="009A43D9">
      <w:pPr>
        <w:pStyle w:val="af9"/>
        <w:numPr>
          <w:ilvl w:val="0"/>
          <w:numId w:val="1"/>
        </w:num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Игры и игрушки вашего ребёнка: методическое пособие / Е.О. Смирнова, Е.А. Абдулаева, А.Ю. Кремлёва и др. – 2-е изд. – М.: ООО «Русское слово - учебник», 2018. – 112 с.</w:t>
      </w:r>
    </w:p>
    <w:p w:rsidR="006411EA" w:rsidRDefault="009A43D9">
      <w:pPr>
        <w:pStyle w:val="af9"/>
        <w:numPr>
          <w:ilvl w:val="0"/>
          <w:numId w:val="1"/>
        </w:num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Смирнова Е.О. Развивающие игры для детей младшего дошкольного возраста: методическое пособие. – М.: ООО «Русское слово - учебник», 2020. – 192 с.</w:t>
      </w:r>
    </w:p>
    <w:p w:rsidR="006411EA" w:rsidRDefault="009A43D9">
      <w:pPr>
        <w:pStyle w:val="af9"/>
        <w:numPr>
          <w:ilvl w:val="0"/>
          <w:numId w:val="1"/>
        </w:numPr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Теплюк С.Н. Актуальные проблемы развития и воспитания детей от рождения до трех лет. – Пособие для педагогов дошкольных учреждений. – М.: МОЗАИКА-СИНТЕЗ, 2010. – 144 с.</w:t>
      </w:r>
    </w:p>
    <w:p w:rsidR="006411EA" w:rsidRDefault="006411EA">
      <w:pPr>
        <w:ind w:left="360"/>
        <w:jc w:val="both"/>
        <w:rPr>
          <w:rFonts w:ascii="Liberation Serif" w:hAnsi="Liberation Serif"/>
          <w:sz w:val="24"/>
          <w:szCs w:val="24"/>
        </w:rPr>
      </w:pPr>
    </w:p>
    <w:sectPr w:rsidR="006411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06F7" w:rsidRDefault="004E06F7">
      <w:pPr>
        <w:spacing w:after="0" w:line="240" w:lineRule="auto"/>
      </w:pPr>
      <w:r>
        <w:separator/>
      </w:r>
    </w:p>
  </w:endnote>
  <w:endnote w:type="continuationSeparator" w:id="0">
    <w:p w:rsidR="004E06F7" w:rsidRDefault="004E06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06F7" w:rsidRDefault="004E06F7">
      <w:pPr>
        <w:spacing w:after="0" w:line="240" w:lineRule="auto"/>
      </w:pPr>
      <w:r>
        <w:separator/>
      </w:r>
    </w:p>
  </w:footnote>
  <w:footnote w:type="continuationSeparator" w:id="0">
    <w:p w:rsidR="004E06F7" w:rsidRDefault="004E06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847189"/>
    <w:multiLevelType w:val="hybridMultilevel"/>
    <w:tmpl w:val="DF625D6A"/>
    <w:lvl w:ilvl="0" w:tplc="23DAE3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6322616">
      <w:start w:val="1"/>
      <w:numFmt w:val="lowerLetter"/>
      <w:lvlText w:val="%2."/>
      <w:lvlJc w:val="left"/>
      <w:pPr>
        <w:ind w:left="1440" w:hanging="360"/>
      </w:pPr>
    </w:lvl>
    <w:lvl w:ilvl="2" w:tplc="6C6849E6">
      <w:start w:val="1"/>
      <w:numFmt w:val="lowerRoman"/>
      <w:lvlText w:val="%3."/>
      <w:lvlJc w:val="right"/>
      <w:pPr>
        <w:ind w:left="2160" w:hanging="180"/>
      </w:pPr>
    </w:lvl>
    <w:lvl w:ilvl="3" w:tplc="85F0B44A">
      <w:start w:val="1"/>
      <w:numFmt w:val="decimal"/>
      <w:lvlText w:val="%4."/>
      <w:lvlJc w:val="left"/>
      <w:pPr>
        <w:ind w:left="2880" w:hanging="360"/>
      </w:pPr>
    </w:lvl>
    <w:lvl w:ilvl="4" w:tplc="009EEC74">
      <w:start w:val="1"/>
      <w:numFmt w:val="lowerLetter"/>
      <w:lvlText w:val="%5."/>
      <w:lvlJc w:val="left"/>
      <w:pPr>
        <w:ind w:left="3600" w:hanging="360"/>
      </w:pPr>
    </w:lvl>
    <w:lvl w:ilvl="5" w:tplc="E17AB3DC">
      <w:start w:val="1"/>
      <w:numFmt w:val="lowerRoman"/>
      <w:lvlText w:val="%6."/>
      <w:lvlJc w:val="right"/>
      <w:pPr>
        <w:ind w:left="4320" w:hanging="180"/>
      </w:pPr>
    </w:lvl>
    <w:lvl w:ilvl="6" w:tplc="B4E0A1DC">
      <w:start w:val="1"/>
      <w:numFmt w:val="decimal"/>
      <w:lvlText w:val="%7."/>
      <w:lvlJc w:val="left"/>
      <w:pPr>
        <w:ind w:left="5040" w:hanging="360"/>
      </w:pPr>
    </w:lvl>
    <w:lvl w:ilvl="7" w:tplc="0DB6493A">
      <w:start w:val="1"/>
      <w:numFmt w:val="lowerLetter"/>
      <w:lvlText w:val="%8."/>
      <w:lvlJc w:val="left"/>
      <w:pPr>
        <w:ind w:left="5760" w:hanging="360"/>
      </w:pPr>
    </w:lvl>
    <w:lvl w:ilvl="8" w:tplc="8A14BA6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400E17"/>
    <w:multiLevelType w:val="hybridMultilevel"/>
    <w:tmpl w:val="99CA7E42"/>
    <w:lvl w:ilvl="0" w:tplc="0DE440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3B0E756">
      <w:start w:val="1"/>
      <w:numFmt w:val="lowerLetter"/>
      <w:lvlText w:val="%2."/>
      <w:lvlJc w:val="left"/>
      <w:pPr>
        <w:ind w:left="1440" w:hanging="360"/>
      </w:pPr>
    </w:lvl>
    <w:lvl w:ilvl="2" w:tplc="51C444FA">
      <w:start w:val="1"/>
      <w:numFmt w:val="lowerRoman"/>
      <w:lvlText w:val="%3."/>
      <w:lvlJc w:val="right"/>
      <w:pPr>
        <w:ind w:left="2160" w:hanging="180"/>
      </w:pPr>
    </w:lvl>
    <w:lvl w:ilvl="3" w:tplc="B47C6F82">
      <w:start w:val="1"/>
      <w:numFmt w:val="decimal"/>
      <w:lvlText w:val="%4."/>
      <w:lvlJc w:val="left"/>
      <w:pPr>
        <w:ind w:left="2880" w:hanging="360"/>
      </w:pPr>
    </w:lvl>
    <w:lvl w:ilvl="4" w:tplc="679A0BC0">
      <w:start w:val="1"/>
      <w:numFmt w:val="lowerLetter"/>
      <w:lvlText w:val="%5."/>
      <w:lvlJc w:val="left"/>
      <w:pPr>
        <w:ind w:left="3600" w:hanging="360"/>
      </w:pPr>
    </w:lvl>
    <w:lvl w:ilvl="5" w:tplc="2630724A">
      <w:start w:val="1"/>
      <w:numFmt w:val="lowerRoman"/>
      <w:lvlText w:val="%6."/>
      <w:lvlJc w:val="right"/>
      <w:pPr>
        <w:ind w:left="4320" w:hanging="180"/>
      </w:pPr>
    </w:lvl>
    <w:lvl w:ilvl="6" w:tplc="05A2749E">
      <w:start w:val="1"/>
      <w:numFmt w:val="decimal"/>
      <w:lvlText w:val="%7."/>
      <w:lvlJc w:val="left"/>
      <w:pPr>
        <w:ind w:left="5040" w:hanging="360"/>
      </w:pPr>
    </w:lvl>
    <w:lvl w:ilvl="7" w:tplc="42D0AE56">
      <w:start w:val="1"/>
      <w:numFmt w:val="lowerLetter"/>
      <w:lvlText w:val="%8."/>
      <w:lvlJc w:val="left"/>
      <w:pPr>
        <w:ind w:left="5760" w:hanging="360"/>
      </w:pPr>
    </w:lvl>
    <w:lvl w:ilvl="8" w:tplc="BF74803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11EA"/>
    <w:rsid w:val="004E06F7"/>
    <w:rsid w:val="006411EA"/>
    <w:rsid w:val="00732A96"/>
    <w:rsid w:val="007E2D03"/>
    <w:rsid w:val="009A4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4066570-2837-4DC0-8E2F-9692AF7AF4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styleId="af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band1Vert">
      <w:tblPr/>
      <w:tcPr>
        <w:shd w:val="clear" w:color="B3D0EB" w:themeColor="accent1" w:themeTint="75" w:fill="auto"/>
      </w:tcPr>
    </w:tblStylePr>
    <w:tblStylePr w:type="band1Horz">
      <w:tblPr/>
      <w:tcPr>
        <w:shd w:val="clear" w:color="B3D0EB" w:themeColor="accent1" w:themeTint="75" w:fill="auto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band1Vert">
      <w:tblPr/>
      <w:tcPr>
        <w:shd w:val="clear" w:color="F6C3A0" w:themeColor="accent2" w:themeTint="75" w:fill="auto"/>
      </w:tcPr>
    </w:tblStylePr>
    <w:tblStylePr w:type="band1Horz">
      <w:tblPr/>
      <w:tcPr>
        <w:shd w:val="clear" w:color="F6C3A0" w:themeColor="accent2" w:themeTint="75" w:fill="auto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band1Vert">
      <w:tblPr/>
      <w:tcPr>
        <w:shd w:val="clear" w:color="D5D5D5" w:themeColor="accent3" w:themeTint="75" w:fill="auto"/>
      </w:tcPr>
    </w:tblStylePr>
    <w:tblStylePr w:type="band1Horz">
      <w:tblPr/>
      <w:tcPr>
        <w:shd w:val="clear" w:color="D5D5D5" w:themeColor="accent3" w:themeTint="75" w:fill="auto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band1Vert">
      <w:tblPr/>
      <w:tcPr>
        <w:shd w:val="clear" w:color="FFE28A" w:themeColor="accent4" w:themeTint="75" w:fill="auto"/>
      </w:tcPr>
    </w:tblStylePr>
    <w:tblStylePr w:type="band1Horz">
      <w:tblPr/>
      <w:tcPr>
        <w:shd w:val="clear" w:color="FFE28A" w:themeColor="accent4" w:themeTint="75" w:fill="auto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band1Vert">
      <w:tblPr/>
      <w:tcPr>
        <w:shd w:val="clear" w:color="A9BEE4" w:themeColor="accent5" w:themeTint="75" w:fill="auto"/>
      </w:tcPr>
    </w:tblStylePr>
    <w:tblStylePr w:type="band1Horz">
      <w:tblPr/>
      <w:tcPr>
        <w:shd w:val="clear" w:color="A9BEE4" w:themeColor="accent5" w:themeTint="75" w:fill="auto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band1Vert">
      <w:tblPr/>
      <w:tcPr>
        <w:shd w:val="clear" w:color="BCDBA8" w:themeColor="accent6" w:themeTint="75" w:fill="auto"/>
      </w:tcPr>
    </w:tblStylePr>
    <w:tblStylePr w:type="band1Horz">
      <w:tblPr/>
      <w:tcPr>
        <w:shd w:val="clear" w:color="BCDBA8" w:themeColor="accent6" w:themeTint="75" w:fill="auto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tblPr/>
      <w:tcPr>
        <w:shd w:val="clear" w:color="D5E5F4" w:themeColor="accent1" w:themeTint="40" w:fill="auto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tblPr/>
      <w:tcPr>
        <w:shd w:val="clear" w:color="FADECB" w:themeColor="accent2" w:themeTint="40" w:fill="auto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tblPr/>
      <w:tcPr>
        <w:shd w:val="clear" w:color="E8E8E8" w:themeColor="accent3" w:themeTint="40" w:fill="auto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tblPr/>
      <w:tcPr>
        <w:shd w:val="clear" w:color="FFEFBF" w:themeColor="accent4" w:themeTint="40" w:fill="auto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tblPr/>
      <w:tcPr>
        <w:shd w:val="clear" w:color="CFDBF0" w:themeColor="accent5" w:themeTint="40" w:fill="auto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tblPr/>
      <w:tcPr>
        <w:shd w:val="clear" w:color="DAEBCF" w:themeColor="accent6" w:themeTint="40" w:fill="auto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0">
    <w:name w:val="Hyperlink"/>
    <w:uiPriority w:val="99"/>
    <w:unhideWhenUsed/>
    <w:rPr>
      <w:color w:val="0563C1" w:themeColor="hyperlink"/>
      <w:u w:val="single"/>
    </w:rPr>
  </w:style>
  <w:style w:type="paragraph" w:styleId="af1">
    <w:name w:val="footnote text"/>
    <w:basedOn w:val="a"/>
    <w:link w:val="af2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2">
    <w:name w:val="Текст сноски Знак"/>
    <w:link w:val="af1"/>
    <w:uiPriority w:val="99"/>
    <w:rPr>
      <w:sz w:val="18"/>
    </w:rPr>
  </w:style>
  <w:style w:type="character" w:styleId="af3">
    <w:name w:val="footnote reference"/>
    <w:basedOn w:val="a0"/>
    <w:uiPriority w:val="99"/>
    <w:unhideWhenUsed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5">
    <w:name w:val="Текст концевой сноски Знак"/>
    <w:link w:val="af4"/>
    <w:uiPriority w:val="99"/>
    <w:rPr>
      <w:sz w:val="20"/>
    </w:rPr>
  </w:style>
  <w:style w:type="character" w:styleId="af6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7">
    <w:name w:val="TOC Heading"/>
    <w:uiPriority w:val="39"/>
    <w:unhideWhenUsed/>
  </w:style>
  <w:style w:type="paragraph" w:styleId="af8">
    <w:name w:val="table of figures"/>
    <w:basedOn w:val="a"/>
    <w:next w:val="a"/>
    <w:uiPriority w:val="99"/>
    <w:unhideWhenUsed/>
    <w:pPr>
      <w:spacing w:after="0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  <w:style w:type="paragraph" w:styleId="afa">
    <w:name w:val="Balloon Text"/>
    <w:basedOn w:val="a"/>
    <w:link w:val="afb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b">
    <w:name w:val="Текст выноски Знак"/>
    <w:basedOn w:val="a0"/>
    <w:link w:val="afa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jp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0.jpg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0.jp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10" Type="http://schemas.openxmlformats.org/officeDocument/2006/relationships/image" Target="media/image10.jpg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14" Type="http://schemas.openxmlformats.org/officeDocument/2006/relationships/image" Target="media/image30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1246</Words>
  <Characters>7106</Characters>
  <Application>Microsoft Office Word</Application>
  <DocSecurity>0</DocSecurity>
  <Lines>59</Lines>
  <Paragraphs>16</Paragraphs>
  <ScaleCrop>false</ScaleCrop>
  <Company>SPecialiST RePack</Company>
  <LinksUpToDate>false</LinksUpToDate>
  <CharactersWithSpaces>8336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User</cp:lastModifiedBy>
  <cp:revision>9</cp:revision>
  <dcterms:created xsi:type="dcterms:W3CDTF">2022-03-23T10:42:00Z</dcterms:created>
  <dcterms:modified xsi:type="dcterms:W3CDTF">2022-03-25T11:06:00Z</dcterms:modified>
</cp:coreProperties>
</file>